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C407F7" w:rsidRDefault="002930DA" w:rsidP="002930DA">
      <w:pPr>
        <w:pStyle w:val="Titulo1"/>
        <w:rPr>
          <w:sz w:val="20"/>
          <w:szCs w:val="20"/>
        </w:rPr>
      </w:pPr>
      <w:r w:rsidRPr="00C407F7">
        <w:rPr>
          <w:sz w:val="20"/>
          <w:szCs w:val="20"/>
        </w:rPr>
        <w:t>NORMA para establecer la estructura del Calendario del Presupuesto de Egresos base mensual.</w:t>
      </w:r>
    </w:p>
    <w:p w:rsidR="002930DA" w:rsidRPr="00C407F7" w:rsidRDefault="002930DA" w:rsidP="002930DA">
      <w:pPr>
        <w:pStyle w:val="Texto"/>
        <w:rPr>
          <w:sz w:val="20"/>
          <w:lang w:val="es-MX"/>
        </w:rPr>
      </w:pPr>
    </w:p>
    <w:p w:rsidR="002930DA" w:rsidRPr="00C407F7" w:rsidRDefault="002930DA" w:rsidP="002930DA">
      <w:pPr>
        <w:pStyle w:val="Texto"/>
        <w:rPr>
          <w:sz w:val="20"/>
        </w:rPr>
      </w:pPr>
      <w:r w:rsidRPr="00C407F7">
        <w:rPr>
          <w:sz w:val="20"/>
        </w:rPr>
        <w:t>Con fundamento en los artículos 9, fracciones I y IX, 14 y 66, segundo párrafo,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la:</w:t>
      </w:r>
    </w:p>
    <w:p w:rsidR="002930DA" w:rsidRPr="00C407F7" w:rsidRDefault="002930DA" w:rsidP="002930DA">
      <w:pPr>
        <w:pStyle w:val="Texto"/>
        <w:ind w:firstLine="0"/>
        <w:jc w:val="center"/>
        <w:rPr>
          <w:b/>
          <w:sz w:val="20"/>
        </w:rPr>
      </w:pPr>
      <w:r w:rsidRPr="00C407F7">
        <w:rPr>
          <w:b/>
          <w:sz w:val="20"/>
        </w:rPr>
        <w:t>Norma para establecer la estructura del Calendario del Presupuesto de Egresos base mensual.</w:t>
      </w:r>
    </w:p>
    <w:p w:rsidR="002930DA" w:rsidRPr="00C407F7" w:rsidRDefault="002930DA" w:rsidP="002930DA">
      <w:pPr>
        <w:pStyle w:val="Texto"/>
        <w:rPr>
          <w:b/>
          <w:sz w:val="20"/>
        </w:rPr>
      </w:pPr>
      <w:r w:rsidRPr="00C407F7">
        <w:rPr>
          <w:b/>
          <w:sz w:val="20"/>
        </w:rPr>
        <w:t>Objeto</w:t>
      </w:r>
    </w:p>
    <w:p w:rsidR="002930DA" w:rsidRPr="00C407F7" w:rsidRDefault="002930DA" w:rsidP="002930DA">
      <w:pPr>
        <w:pStyle w:val="ROMANOS"/>
        <w:rPr>
          <w:sz w:val="20"/>
          <w:szCs w:val="20"/>
        </w:rPr>
      </w:pPr>
      <w:r w:rsidRPr="00C407F7">
        <w:rPr>
          <w:sz w:val="20"/>
          <w:szCs w:val="20"/>
        </w:rPr>
        <w:t>1.</w:t>
      </w:r>
      <w:r w:rsidRPr="00C407F7">
        <w:rPr>
          <w:sz w:val="20"/>
          <w:szCs w:val="20"/>
        </w:rPr>
        <w:tab/>
        <w:t>Establecer la estructura del formato para publicar en internet el Calendario del Presupuesto de Egresos base mensual para que la información financiera que generen y publiquen los entes obligados sea con base en estructuras y formatos armonizados.</w:t>
      </w:r>
    </w:p>
    <w:p w:rsidR="002930DA" w:rsidRPr="00C407F7" w:rsidRDefault="002930DA" w:rsidP="002930DA">
      <w:pPr>
        <w:pStyle w:val="Texto"/>
        <w:rPr>
          <w:b/>
          <w:sz w:val="20"/>
        </w:rPr>
      </w:pPr>
      <w:r w:rsidRPr="00C407F7">
        <w:rPr>
          <w:b/>
          <w:sz w:val="20"/>
        </w:rPr>
        <w:t>Ambito de aplicación</w:t>
      </w:r>
    </w:p>
    <w:p w:rsidR="002930DA" w:rsidRPr="00C407F7" w:rsidRDefault="002930DA" w:rsidP="002930DA">
      <w:pPr>
        <w:pStyle w:val="ROMANOS"/>
        <w:rPr>
          <w:sz w:val="20"/>
          <w:szCs w:val="20"/>
        </w:rPr>
      </w:pPr>
      <w:r w:rsidRPr="00C407F7">
        <w:rPr>
          <w:sz w:val="20"/>
          <w:szCs w:val="20"/>
        </w:rPr>
        <w:t>2.</w:t>
      </w:r>
      <w:r w:rsidRPr="00C407F7">
        <w:rPr>
          <w:sz w:val="20"/>
          <w:szCs w:val="20"/>
        </w:rPr>
        <w:tab/>
        <w:t>Las presentes disposiciones serán de observancia obligatoria para: las secretarías de finanzas o sus equivalentes de las entidades federativas, así como las tesorerías de los municipios.</w:t>
      </w:r>
    </w:p>
    <w:p w:rsidR="002930DA" w:rsidRPr="00C407F7" w:rsidRDefault="002930DA" w:rsidP="002930DA">
      <w:pPr>
        <w:pStyle w:val="Texto"/>
        <w:rPr>
          <w:b/>
          <w:sz w:val="20"/>
        </w:rPr>
      </w:pPr>
      <w:r w:rsidRPr="00C407F7">
        <w:rPr>
          <w:b/>
          <w:sz w:val="20"/>
        </w:rPr>
        <w:t>Normas</w:t>
      </w:r>
    </w:p>
    <w:p w:rsidR="002930DA" w:rsidRPr="00C407F7" w:rsidRDefault="002930DA" w:rsidP="002930DA">
      <w:pPr>
        <w:pStyle w:val="ROMANOS"/>
        <w:rPr>
          <w:sz w:val="20"/>
          <w:szCs w:val="20"/>
        </w:rPr>
      </w:pPr>
      <w:r w:rsidRPr="00C407F7">
        <w:rPr>
          <w:sz w:val="20"/>
          <w:szCs w:val="20"/>
        </w:rPr>
        <w:t>3.</w:t>
      </w:r>
      <w:r w:rsidRPr="00C407F7">
        <w:rPr>
          <w:sz w:val="20"/>
          <w:szCs w:val="20"/>
        </w:rPr>
        <w:tab/>
        <w:t>En apego al artículo 66 de la Ley General de Contabilidad Gubernamental, las secretarías de finanzas o sus equivalentes de las entidades federativas, así como las tesorerías de los municipios deberán publicar en Internet, los calendarios de presupuesto de egresos con base mensual, en los formatos y plazos que determine el Consejo Nacional de Armonización Contable.</w:t>
      </w:r>
    </w:p>
    <w:p w:rsidR="002930DA" w:rsidRPr="00C407F7" w:rsidRDefault="002930DA" w:rsidP="002930DA">
      <w:pPr>
        <w:pStyle w:val="ROMANOS"/>
        <w:spacing w:after="70"/>
        <w:rPr>
          <w:sz w:val="20"/>
          <w:szCs w:val="20"/>
        </w:rPr>
      </w:pPr>
      <w:r w:rsidRPr="00C407F7">
        <w:rPr>
          <w:sz w:val="20"/>
          <w:szCs w:val="20"/>
        </w:rPr>
        <w:t>4.</w:t>
      </w:r>
      <w:r w:rsidRPr="00C407F7">
        <w:rPr>
          <w:sz w:val="20"/>
          <w:szCs w:val="20"/>
        </w:rPr>
        <w:tab/>
        <w:t>La Secretaría de Hacienda y Crédito Público publicará en el Diario Oficial de la Federación los Calendarios de Presupuesto de Egresos con base mensual en los términos de la Ley Federal de Presupuesto y Responsabilidad Hacendaria.</w:t>
      </w:r>
      <w:r w:rsidRPr="00C407F7">
        <w:rPr>
          <w:b/>
          <w:sz w:val="20"/>
          <w:szCs w:val="20"/>
        </w:rPr>
        <w:t xml:space="preserve"> </w:t>
      </w:r>
    </w:p>
    <w:p w:rsidR="002930DA" w:rsidRPr="00C407F7" w:rsidRDefault="002930DA" w:rsidP="002930DA">
      <w:pPr>
        <w:pStyle w:val="Texto"/>
        <w:spacing w:after="70"/>
        <w:rPr>
          <w:b/>
          <w:sz w:val="20"/>
        </w:rPr>
      </w:pPr>
      <w:r w:rsidRPr="00C407F7">
        <w:rPr>
          <w:b/>
          <w:sz w:val="20"/>
        </w:rPr>
        <w:t>Precisiones al formato</w:t>
      </w:r>
    </w:p>
    <w:p w:rsidR="002930DA" w:rsidRPr="00C407F7" w:rsidRDefault="002930DA" w:rsidP="002930DA">
      <w:pPr>
        <w:pStyle w:val="ROMANOS"/>
        <w:spacing w:after="70"/>
        <w:rPr>
          <w:sz w:val="20"/>
          <w:szCs w:val="20"/>
        </w:rPr>
      </w:pPr>
      <w:r w:rsidRPr="00C407F7">
        <w:rPr>
          <w:sz w:val="20"/>
          <w:szCs w:val="20"/>
        </w:rPr>
        <w:t>5.</w:t>
      </w:r>
      <w:r w:rsidRPr="00C407F7">
        <w:rPr>
          <w:sz w:val="20"/>
          <w:szCs w:val="20"/>
        </w:rPr>
        <w:tab/>
        <w:t>Esquema para establecer la estructura del Calendario del Presupuesto de Egresos base mensual, el formato se integra principalmente por:</w:t>
      </w:r>
    </w:p>
    <w:p w:rsidR="002930DA" w:rsidRPr="00C407F7" w:rsidRDefault="002930DA" w:rsidP="002930DA">
      <w:pPr>
        <w:pStyle w:val="INCISO"/>
        <w:spacing w:after="70"/>
        <w:rPr>
          <w:bCs/>
          <w:sz w:val="20"/>
          <w:szCs w:val="20"/>
        </w:rPr>
      </w:pPr>
      <w:r w:rsidRPr="00C407F7">
        <w:rPr>
          <w:sz w:val="20"/>
          <w:szCs w:val="20"/>
        </w:rPr>
        <w:t>a)</w:t>
      </w:r>
      <w:r w:rsidRPr="00C407F7">
        <w:rPr>
          <w:sz w:val="20"/>
          <w:szCs w:val="20"/>
        </w:rPr>
        <w:tab/>
        <w:t xml:space="preserve">Capítulo de Gasto: detalle de la clasificación por objeto del gasto que reúne en forma sistemática y homogénea todos los conceptos de gastos que realizan los entes obligados para el desarrollo de sus actividades, en el marco del Presupuesto de Egresos. Incluir como mínimo al segundo nivel </w:t>
      </w:r>
    </w:p>
    <w:p w:rsidR="002930DA" w:rsidRPr="00C407F7" w:rsidRDefault="002930DA" w:rsidP="002930DA">
      <w:pPr>
        <w:pStyle w:val="INCISO"/>
        <w:spacing w:after="70"/>
        <w:rPr>
          <w:bCs/>
          <w:sz w:val="20"/>
          <w:szCs w:val="20"/>
        </w:rPr>
      </w:pPr>
      <w:r w:rsidRPr="00C407F7">
        <w:rPr>
          <w:bCs/>
          <w:sz w:val="20"/>
          <w:szCs w:val="20"/>
        </w:rPr>
        <w:t>b)</w:t>
      </w:r>
      <w:r w:rsidRPr="00C407F7">
        <w:rPr>
          <w:bCs/>
          <w:sz w:val="20"/>
          <w:szCs w:val="20"/>
        </w:rPr>
        <w:tab/>
        <w:t>Anual: cantidad total del acumulado de los meses.</w:t>
      </w:r>
    </w:p>
    <w:p w:rsidR="002930DA" w:rsidRPr="00C407F7" w:rsidRDefault="002930DA" w:rsidP="002930DA">
      <w:pPr>
        <w:pStyle w:val="INCISO"/>
        <w:spacing w:after="70"/>
        <w:rPr>
          <w:bCs/>
          <w:sz w:val="20"/>
          <w:szCs w:val="20"/>
        </w:rPr>
      </w:pPr>
      <w:r w:rsidRPr="00C407F7">
        <w:rPr>
          <w:sz w:val="20"/>
          <w:szCs w:val="20"/>
        </w:rPr>
        <w:t>c)</w:t>
      </w:r>
      <w:r w:rsidRPr="00C407F7">
        <w:rPr>
          <w:sz w:val="20"/>
          <w:szCs w:val="20"/>
        </w:rPr>
        <w:tab/>
        <w:t>Meses: cantidades correspondientes a cada mes según corresponda.</w:t>
      </w:r>
    </w:p>
    <w:p w:rsidR="002930DA" w:rsidRPr="00C407F7" w:rsidRDefault="002930DA" w:rsidP="002930DA">
      <w:pPr>
        <w:pStyle w:val="Texto"/>
        <w:spacing w:after="70"/>
        <w:rPr>
          <w:b/>
          <w:sz w:val="20"/>
        </w:rPr>
      </w:pPr>
      <w:r w:rsidRPr="00C407F7">
        <w:rPr>
          <w:b/>
          <w:sz w:val="20"/>
        </w:rPr>
        <w:t>Plazo para publicación del calendario</w:t>
      </w:r>
    </w:p>
    <w:p w:rsidR="002930DA" w:rsidRPr="00C407F7" w:rsidRDefault="002930DA" w:rsidP="002930DA">
      <w:pPr>
        <w:pStyle w:val="Texto"/>
        <w:spacing w:after="70"/>
        <w:ind w:left="720" w:hanging="432"/>
        <w:rPr>
          <w:sz w:val="20"/>
        </w:rPr>
      </w:pPr>
      <w:r w:rsidRPr="00C407F7">
        <w:rPr>
          <w:sz w:val="20"/>
        </w:rPr>
        <w:t>6.</w:t>
      </w:r>
      <w:r w:rsidRPr="00C407F7">
        <w:rPr>
          <w:sz w:val="20"/>
        </w:rPr>
        <w:tab/>
        <w:t>Los entes obligados deberán publicar a más tardar el ultimo día de enero, en su respectiva página de internet el siguiente formato con relación al Presupuesto de Egresos:</w:t>
      </w:r>
    </w:p>
    <w:p w:rsidR="00713C6E" w:rsidRPr="00C407F7" w:rsidRDefault="00713C6E" w:rsidP="002930DA">
      <w:pPr>
        <w:pStyle w:val="Texto"/>
        <w:spacing w:after="70"/>
        <w:ind w:left="720" w:hanging="432"/>
        <w:rPr>
          <w:sz w:val="20"/>
        </w:rPr>
      </w:pPr>
    </w:p>
    <w:p w:rsidR="00713C6E" w:rsidRPr="00C407F7" w:rsidRDefault="00713C6E" w:rsidP="00C407F7">
      <w:pPr>
        <w:pStyle w:val="Texto"/>
        <w:spacing w:after="70"/>
        <w:rPr>
          <w:sz w:val="8"/>
          <w:szCs w:val="8"/>
        </w:rPr>
      </w:pPr>
    </w:p>
    <w:p w:rsidR="00C407F7" w:rsidRPr="00C407F7" w:rsidRDefault="00C407F7" w:rsidP="00C407F7">
      <w:pPr>
        <w:pStyle w:val="Texto"/>
        <w:spacing w:after="70"/>
        <w:rPr>
          <w:sz w:val="8"/>
          <w:szCs w:val="8"/>
        </w:rPr>
      </w:pPr>
    </w:p>
    <w:p w:rsidR="00C407F7" w:rsidRPr="00C407F7" w:rsidRDefault="00C407F7" w:rsidP="00C407F7">
      <w:pPr>
        <w:pStyle w:val="Texto"/>
        <w:spacing w:after="70"/>
        <w:rPr>
          <w:sz w:val="8"/>
          <w:szCs w:val="8"/>
        </w:rPr>
      </w:pPr>
    </w:p>
    <w:tbl>
      <w:tblPr>
        <w:tblStyle w:val="Tablaconcuadrcula1"/>
        <w:tblW w:w="11483" w:type="dxa"/>
        <w:tblInd w:w="-431" w:type="dxa"/>
        <w:tblLayout w:type="fixed"/>
        <w:tblLook w:val="04A0" w:firstRow="1" w:lastRow="0" w:firstColumn="1" w:lastColumn="0" w:noHBand="0" w:noVBand="1"/>
      </w:tblPr>
      <w:tblGrid>
        <w:gridCol w:w="426"/>
        <w:gridCol w:w="426"/>
        <w:gridCol w:w="425"/>
        <w:gridCol w:w="992"/>
        <w:gridCol w:w="709"/>
        <w:gridCol w:w="709"/>
        <w:gridCol w:w="283"/>
        <w:gridCol w:w="425"/>
        <w:gridCol w:w="709"/>
        <w:gridCol w:w="709"/>
        <w:gridCol w:w="709"/>
        <w:gridCol w:w="708"/>
        <w:gridCol w:w="709"/>
        <w:gridCol w:w="709"/>
        <w:gridCol w:w="709"/>
        <w:gridCol w:w="708"/>
        <w:gridCol w:w="709"/>
        <w:gridCol w:w="709"/>
      </w:tblGrid>
      <w:tr w:rsidR="00C407F7" w:rsidRPr="00C407F7" w:rsidTr="00C407F7">
        <w:trPr>
          <w:trHeight w:val="264"/>
        </w:trPr>
        <w:tc>
          <w:tcPr>
            <w:tcW w:w="11483" w:type="dxa"/>
            <w:gridSpan w:val="18"/>
            <w:noWrap/>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PRESUPUESTO DE EGRESOS GENERAL</w:t>
            </w:r>
          </w:p>
        </w:tc>
      </w:tr>
      <w:tr w:rsidR="00C407F7" w:rsidRPr="00C407F7" w:rsidTr="00C407F7">
        <w:trPr>
          <w:trHeight w:val="276"/>
        </w:trPr>
        <w:tc>
          <w:tcPr>
            <w:tcW w:w="426" w:type="dxa"/>
            <w:noWrap/>
            <w:hideMark/>
          </w:tcPr>
          <w:p w:rsidR="00C407F7" w:rsidRPr="00C407F7" w:rsidRDefault="00C407F7" w:rsidP="00C407F7">
            <w:pPr>
              <w:rPr>
                <w:rFonts w:asciiTheme="minorHAnsi" w:eastAsiaTheme="minorHAnsi" w:hAnsiTheme="minorHAnsi"/>
                <w:b/>
                <w:bCs/>
                <w:sz w:val="8"/>
                <w:szCs w:val="8"/>
                <w:lang w:val="es-MX"/>
              </w:rPr>
            </w:pPr>
          </w:p>
        </w:tc>
        <w:tc>
          <w:tcPr>
            <w:tcW w:w="426" w:type="dxa"/>
            <w:noWrap/>
            <w:hideMark/>
          </w:tcPr>
          <w:p w:rsidR="00C407F7" w:rsidRPr="00C407F7" w:rsidRDefault="00C407F7" w:rsidP="00C407F7">
            <w:pPr>
              <w:rPr>
                <w:rFonts w:asciiTheme="minorHAnsi" w:eastAsiaTheme="minorHAnsi" w:hAnsiTheme="minorHAnsi"/>
                <w:b/>
                <w:sz w:val="8"/>
                <w:szCs w:val="8"/>
                <w:lang w:val="es-MX"/>
              </w:rPr>
            </w:pPr>
          </w:p>
        </w:tc>
        <w:tc>
          <w:tcPr>
            <w:tcW w:w="425" w:type="dxa"/>
            <w:noWrap/>
            <w:hideMark/>
          </w:tcPr>
          <w:p w:rsidR="00C407F7" w:rsidRPr="00C407F7" w:rsidRDefault="00C407F7" w:rsidP="00C407F7">
            <w:pPr>
              <w:rPr>
                <w:rFonts w:asciiTheme="minorHAnsi" w:eastAsiaTheme="minorHAnsi" w:hAnsiTheme="minorHAnsi"/>
                <w:b/>
                <w:sz w:val="8"/>
                <w:szCs w:val="8"/>
                <w:lang w:val="es-MX"/>
              </w:rPr>
            </w:pPr>
          </w:p>
        </w:tc>
        <w:tc>
          <w:tcPr>
            <w:tcW w:w="992"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992" w:type="dxa"/>
            <w:gridSpan w:val="2"/>
            <w:noWrap/>
            <w:hideMark/>
          </w:tcPr>
          <w:p w:rsidR="00C407F7" w:rsidRPr="00C407F7" w:rsidRDefault="00C407F7" w:rsidP="00C407F7">
            <w:pPr>
              <w:rPr>
                <w:rFonts w:asciiTheme="minorHAnsi" w:eastAsiaTheme="minorHAnsi" w:hAnsiTheme="minorHAnsi"/>
                <w:b/>
                <w:sz w:val="8"/>
                <w:szCs w:val="8"/>
                <w:lang w:val="es-MX"/>
              </w:rPr>
            </w:pPr>
          </w:p>
        </w:tc>
        <w:tc>
          <w:tcPr>
            <w:tcW w:w="425"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8"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8"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c>
          <w:tcPr>
            <w:tcW w:w="709" w:type="dxa"/>
            <w:noWrap/>
            <w:hideMark/>
          </w:tcPr>
          <w:p w:rsidR="00C407F7" w:rsidRPr="00C407F7" w:rsidRDefault="00C407F7" w:rsidP="00C407F7">
            <w:pPr>
              <w:rPr>
                <w:rFonts w:asciiTheme="minorHAnsi" w:eastAsiaTheme="minorHAnsi" w:hAnsiTheme="minorHAnsi"/>
                <w:b/>
                <w:sz w:val="8"/>
                <w:szCs w:val="8"/>
                <w:lang w:val="es-MX"/>
              </w:rPr>
            </w:pPr>
          </w:p>
        </w:tc>
      </w:tr>
      <w:tr w:rsidR="00C407F7" w:rsidRPr="00C407F7" w:rsidTr="00C407F7">
        <w:trPr>
          <w:trHeight w:val="264"/>
        </w:trPr>
        <w:tc>
          <w:tcPr>
            <w:tcW w:w="3687" w:type="dxa"/>
            <w:gridSpan w:val="6"/>
            <w:noWrap/>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NOMBRE DEL MUNICIPIO:  COALCOMÁN, MICHOACÁN</w:t>
            </w:r>
          </w:p>
        </w:tc>
        <w:tc>
          <w:tcPr>
            <w:tcW w:w="708" w:type="dxa"/>
            <w:gridSpan w:val="2"/>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2126" w:type="dxa"/>
            <w:gridSpan w:val="3"/>
            <w:noWrap/>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EJERCICIO PRESUPUESTAL: 2022 GENERAL</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8"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c>
          <w:tcPr>
            <w:tcW w:w="709" w:type="dxa"/>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r>
      <w:tr w:rsidR="00C407F7" w:rsidRPr="00C407F7" w:rsidTr="00C407F7">
        <w:trPr>
          <w:trHeight w:val="264"/>
        </w:trPr>
        <w:tc>
          <w:tcPr>
            <w:tcW w:w="2269" w:type="dxa"/>
            <w:gridSpan w:val="4"/>
            <w:noWrap/>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TOTAL DEL PRESUPUESTO: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$ 156,878,021.00</w:t>
            </w:r>
          </w:p>
        </w:tc>
        <w:tc>
          <w:tcPr>
            <w:tcW w:w="8505" w:type="dxa"/>
            <w:gridSpan w:val="13"/>
            <w:hideMark/>
          </w:tcPr>
          <w:p w:rsidR="00C407F7" w:rsidRPr="00C407F7" w:rsidRDefault="00C407F7" w:rsidP="00C407F7">
            <w:pPr>
              <w:rPr>
                <w:rFonts w:asciiTheme="minorHAnsi" w:eastAsiaTheme="minorHAnsi" w:hAnsiTheme="minorHAnsi"/>
                <w:b/>
                <w:bCs/>
                <w:sz w:val="8"/>
                <w:szCs w:val="8"/>
                <w:lang w:val="es-MX"/>
              </w:rPr>
            </w:pPr>
            <w:r w:rsidRPr="00C407F7">
              <w:rPr>
                <w:rFonts w:asciiTheme="minorHAnsi" w:eastAsiaTheme="minorHAnsi" w:hAnsiTheme="minorHAnsi"/>
                <w:b/>
                <w:bCs/>
                <w:sz w:val="8"/>
                <w:szCs w:val="8"/>
                <w:lang w:val="es-MX"/>
              </w:rPr>
              <w:t> </w:t>
            </w:r>
          </w:p>
        </w:tc>
      </w:tr>
      <w:tr w:rsidR="00C407F7" w:rsidRPr="00C407F7" w:rsidTr="00C407F7">
        <w:trPr>
          <w:trHeight w:val="540"/>
        </w:trPr>
        <w:tc>
          <w:tcPr>
            <w:tcW w:w="1277" w:type="dxa"/>
            <w:gridSpan w:val="3"/>
            <w:noWrap/>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CÓDIGO</w:t>
            </w:r>
          </w:p>
        </w:tc>
        <w:tc>
          <w:tcPr>
            <w:tcW w:w="992"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DESCRIPCIÓN/CONCEPTO/PARTIDA</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 xml:space="preserve"> ANUAL </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ENERO</w:t>
            </w:r>
          </w:p>
        </w:tc>
        <w:tc>
          <w:tcPr>
            <w:tcW w:w="708" w:type="dxa"/>
            <w:gridSpan w:val="2"/>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FEBRERO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MARZO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ABRIL</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MAYO</w:t>
            </w:r>
          </w:p>
        </w:tc>
        <w:tc>
          <w:tcPr>
            <w:tcW w:w="708"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JUNIO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JULIO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AGOSTO</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SEPTIEMBRE</w:t>
            </w:r>
          </w:p>
        </w:tc>
        <w:tc>
          <w:tcPr>
            <w:tcW w:w="708"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OCTUBRE</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NOVIEMBRE</w:t>
            </w:r>
          </w:p>
        </w:tc>
        <w:tc>
          <w:tcPr>
            <w:tcW w:w="709" w:type="dxa"/>
            <w:hideMark/>
          </w:tcPr>
          <w:p w:rsidR="00C407F7" w:rsidRPr="00C13C55" w:rsidRDefault="00C407F7" w:rsidP="00C407F7">
            <w:pPr>
              <w:rPr>
                <w:rFonts w:asciiTheme="minorHAnsi" w:eastAsiaTheme="minorHAnsi" w:hAnsiTheme="minorHAnsi"/>
                <w:b/>
                <w:bCs/>
                <w:sz w:val="12"/>
                <w:szCs w:val="8"/>
                <w:lang w:val="es-MX"/>
              </w:rPr>
            </w:pPr>
            <w:r w:rsidRPr="00C13C55">
              <w:rPr>
                <w:rFonts w:asciiTheme="minorHAnsi" w:eastAsiaTheme="minorHAnsi" w:hAnsiTheme="minorHAnsi"/>
                <w:b/>
                <w:bCs/>
                <w:sz w:val="12"/>
                <w:szCs w:val="8"/>
                <w:lang w:val="es-MX"/>
              </w:rPr>
              <w:t>DICIEMBRE</w:t>
            </w:r>
          </w:p>
        </w:tc>
      </w:tr>
      <w:tr w:rsidR="00C407F7" w:rsidRPr="00C407F7"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PERSONALES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75,323,174.99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7,339,492.50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4,893,021.50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5,234,317.68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4,743,924.00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5,247,219.86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4,977,328.18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5,168,538.56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4,955,674.33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5,016,138.96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12,120,341.81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7,607,111.24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7,955,066.37 </w:t>
            </w:r>
          </w:p>
        </w:tc>
      </w:tr>
      <w:tr w:rsidR="00C407F7" w:rsidRPr="00C407F7"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11103</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Dietas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4,875,000.00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r>
      <w:tr w:rsidR="00C407F7" w:rsidRPr="00C407F7"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11300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11301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Sueldos base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30,100,228.96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$2,733,000.00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2,137,728.00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2,152,752.00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2,147,786.00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2,233,958.41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2,185,229.82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2,242,752.16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2,250,906.83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2,184,317.96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3,263,444.10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3,399,052.31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3,169,301.37 </w:t>
            </w:r>
          </w:p>
        </w:tc>
      </w:tr>
      <w:tr w:rsidR="00C407F7" w:rsidRPr="00C407F7"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12200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12201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Sueldo base al personal eventual.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18,875,500.00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$1,580,000.00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1,380,000.00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2,185,500.00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1,685,000.00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2,180,000.00 </w:t>
            </w:r>
          </w:p>
        </w:tc>
      </w:tr>
      <w:tr w:rsidR="00C407F7" w:rsidRPr="00C407F7" w:rsidTr="00C407F7">
        <w:trPr>
          <w:trHeight w:val="22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Primas quincenal por años de servicios efectivos prestados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203,500.00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$17,500.00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r>
      <w:tr w:rsidR="00C407F7" w:rsidRPr="00C407F7"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Prima vacacional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1,173,750.00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$151,500.00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23,250.00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151,500.00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56,500.00 </w:t>
            </w:r>
          </w:p>
        </w:tc>
      </w:tr>
      <w:tr w:rsidR="00C407F7" w:rsidRPr="00C407F7"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lastRenderedPageBreak/>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13202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Aguinaldo o gratificación de fin de año.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8,075,116.63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5,075,116.63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1,000,000.00 </w:t>
            </w:r>
          </w:p>
        </w:tc>
      </w:tr>
      <w:tr w:rsidR="00C407F7" w:rsidRPr="00C407F7" w:rsidTr="00C407F7">
        <w:trPr>
          <w:trHeight w:val="146"/>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13301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Remuneración por Horas Extraordinarias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960,937.40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$54,572.50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57,373.50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81,885.68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78,708.00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94,581.45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72,418.36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97,436.40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109,487.50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54,559.00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108,131.08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81,138.93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70,645.00 </w:t>
            </w:r>
          </w:p>
        </w:tc>
      </w:tr>
      <w:tr w:rsidR="00C407F7" w:rsidRPr="00C13C55" w:rsidTr="00C407F7">
        <w:trPr>
          <w:trHeight w:val="248"/>
        </w:trPr>
        <w:tc>
          <w:tcPr>
            <w:tcW w:w="426"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1000</w:t>
            </w:r>
          </w:p>
        </w:tc>
        <w:tc>
          <w:tcPr>
            <w:tcW w:w="426"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13400</w:t>
            </w:r>
          </w:p>
        </w:tc>
        <w:tc>
          <w:tcPr>
            <w:tcW w:w="425"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13404</w:t>
            </w:r>
          </w:p>
        </w:tc>
        <w:tc>
          <w:tcPr>
            <w:tcW w:w="992" w:type="dxa"/>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Compensaciones por Servicios Eventuales</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1,544,142.00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$302,920.00</w:t>
            </w:r>
          </w:p>
        </w:tc>
        <w:tc>
          <w:tcPr>
            <w:tcW w:w="708" w:type="dxa"/>
            <w:gridSpan w:val="2"/>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93,920.00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97,680.00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91,680.00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95,680.00 </w:t>
            </w:r>
          </w:p>
        </w:tc>
        <w:tc>
          <w:tcPr>
            <w:tcW w:w="708"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85,680.00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105,350.00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81,280.00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96,762.00 </w:t>
            </w:r>
          </w:p>
        </w:tc>
        <w:tc>
          <w:tcPr>
            <w:tcW w:w="708"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92,150.00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98,920.00 </w:t>
            </w:r>
          </w:p>
        </w:tc>
        <w:tc>
          <w:tcPr>
            <w:tcW w:w="709" w:type="dxa"/>
            <w:noWrap/>
            <w:hideMark/>
          </w:tcPr>
          <w:p w:rsidR="00C407F7" w:rsidRPr="00C13C55" w:rsidRDefault="00C407F7" w:rsidP="00C407F7">
            <w:pPr>
              <w:rPr>
                <w:rFonts w:asciiTheme="minorHAnsi" w:eastAsiaTheme="minorHAnsi" w:hAnsiTheme="minorHAnsi"/>
                <w:b/>
                <w:sz w:val="12"/>
                <w:szCs w:val="8"/>
                <w:lang w:val="es-MX"/>
              </w:rPr>
            </w:pPr>
            <w:r w:rsidRPr="00C13C55">
              <w:rPr>
                <w:rFonts w:asciiTheme="minorHAnsi" w:eastAsiaTheme="minorHAnsi" w:hAnsiTheme="minorHAnsi"/>
                <w:b/>
                <w:sz w:val="12"/>
                <w:szCs w:val="8"/>
                <w:lang w:val="es-MX"/>
              </w:rPr>
              <w:t xml:space="preserve"> $                      302,120.00 </w:t>
            </w:r>
          </w:p>
        </w:tc>
      </w:tr>
      <w:tr w:rsidR="00C407F7" w:rsidRPr="00C13C55" w:rsidTr="00C407F7">
        <w:trPr>
          <w:trHeight w:val="28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13700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13701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Honorarios especiales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r>
      <w:tr w:rsidR="00C407F7" w:rsidRPr="00C13C55" w:rsidTr="00C407F7">
        <w:trPr>
          <w:trHeight w:val="257"/>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14103</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Aportaciones al IMSS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4,800,000.00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400,000.00 </w:t>
            </w:r>
          </w:p>
        </w:tc>
      </w:tr>
      <w:tr w:rsidR="00C407F7" w:rsidRPr="00C13C55" w:rsidTr="00C407F7">
        <w:trPr>
          <w:trHeight w:val="288"/>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14202</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Aportaciones al Infonavit</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5"/>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14301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Aportaciones al Sistema de Ahorro para el Retiro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r>
      <w:tr w:rsidR="00C407F7" w:rsidRPr="00C13C55" w:rsidTr="00C407F7">
        <w:trPr>
          <w:trHeight w:val="24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14401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Cuotas para el seguro de vida del personal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32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15202</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Indemnizaciones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$235,000.00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105,000.00 </w:t>
            </w:r>
          </w:p>
        </w:tc>
      </w:tr>
      <w:tr w:rsidR="00C407F7" w:rsidRPr="00C13C55" w:rsidTr="00C407F7">
        <w:trPr>
          <w:trHeight w:val="50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15401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Prestaciones establecidas por condiciones generales de trabajo o contratos colectivos de trabajo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$125,000.00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para capacitación a servidores públicos.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MATERIALES Y SUMINISTROS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15,613,778.34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1,472,894.83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1,208,351.05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1,275,617.50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1,221,022.70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1,265,081.00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1,226,587.19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1,013,021.03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1,060,339.53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1,715,939.06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1,201,931.99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1,299,657.98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1,653,334.48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Materiales y útiles de oficina.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687,141.64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112,000.00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83,598.15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45,119.00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32,900.00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63,953.00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40,030.03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61,500.00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52,601.51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38,239.95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60,400.00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Materiales y útiles de impresión y reproducción.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21601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 de limpieza.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53,300.00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54,000.00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34,500.00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34,000.00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36,700.00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104,000.00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21602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Otros productos químicos.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478"/>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22100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22104</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Productos alimenticios para el personal en las instalaciones de las dependencias y entidades.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r>
      <w:tr w:rsidR="00C407F7" w:rsidRPr="00C13C55" w:rsidTr="00C407F7">
        <w:trPr>
          <w:trHeight w:val="51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22100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22103</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Productos alimenticios para el personal derivado de actividades extraordinarias.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547,342.07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41,471.00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70,273.10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41,471.00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34,471.00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41,471.00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43,328.48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41,471.00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72,786.53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41,471.00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43,328.48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33,471.00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42,328.48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24600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24601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 eléctrico y electrónico.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r>
      <w:tr w:rsidR="00C407F7" w:rsidRPr="00C13C55" w:rsidTr="00C407F7">
        <w:trPr>
          <w:trHeight w:val="28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24900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24901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Otros materiales y artículos de construcción y reparación.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Fertilizantes, pesticidas y otros agroquímicos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200,637.79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51,458.79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52,400.00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5,600.00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12,600.00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12,600.00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10,200.00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6,116.00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8,963.00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10,200.00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Medicinas y productos farmacéuticos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107,823.00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16,520.00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6,063.00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18,520.00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13,220.00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25401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Materiales, accesorios y suministros médicos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149,670.00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23,810.00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25,286.80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6,549.50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14,963.70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26,410.00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14,650.00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3,600.00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 </w:t>
            </w:r>
          </w:p>
        </w:tc>
      </w:tr>
      <w:tr w:rsidR="00C407F7" w:rsidRPr="00C13C55" w:rsidTr="00C407F7">
        <w:trPr>
          <w:trHeight w:val="548"/>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26100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26105</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Combustibles, lubricantes y aditivos para maquinaria, equipo de producción y servicios administrativos.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10,697,994.83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864,094.03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758,600.00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904,478.00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931,288.00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847,200.00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776,155.71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741,721.00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1,220,168.06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865,000.00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888,484.03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1,185,806.00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Vestuario y uniformes.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338,782.01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53,250.01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24,516.00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24,516.00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62,500.00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32,500.00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Artículos deportivos.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179,600.00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52,300.00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52,300.00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28200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28201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Materiales de seguridad pública.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28300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28301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Prendas de protección para seguridad pública.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Refacciones y accesorios menores de edificios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30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29401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Refacciones y accesorios menores de equipo de cómputo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 </w:t>
            </w:r>
          </w:p>
        </w:tc>
      </w:tr>
      <w:tr w:rsidR="00C407F7" w:rsidRPr="00C13C55" w:rsidTr="00C407F7">
        <w:trPr>
          <w:trHeight w:val="376"/>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29601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Refacciones y accesorios menores de equipo de transporte</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304,787.00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31,091.00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15,630.00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40,184.00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25,400.00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21,400.00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23,400.00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33,882.00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20,400.00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27,400.00 </w:t>
            </w:r>
          </w:p>
        </w:tc>
      </w:tr>
      <w:tr w:rsidR="00C407F7" w:rsidRPr="00C13C55" w:rsidTr="00C407F7">
        <w:trPr>
          <w:trHeight w:val="41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29800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29801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Refacciones y accesorios menores de </w:t>
            </w:r>
            <w:r w:rsidRPr="00C13C55">
              <w:rPr>
                <w:rFonts w:asciiTheme="minorHAnsi" w:eastAsiaTheme="minorHAnsi" w:hAnsiTheme="minorHAnsi"/>
                <w:b/>
                <w:sz w:val="10"/>
                <w:szCs w:val="8"/>
                <w:lang w:val="es-MX"/>
              </w:rPr>
              <w:lastRenderedPageBreak/>
              <w:t>maquinaría y otros equipos.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lastRenderedPageBreak/>
              <w:t xml:space="preserve"> $                            350,000.00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20,200.00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29,800.00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39,000.00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GENERALES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11,564,516.01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1,681,900.24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1,098,500.00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1,161,800.00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911,687.00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872,641.00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861,500.00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785,300.00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718,500.00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893,161.16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861,750.01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815,276.60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902,500.00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 de energía eléctrica.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2,512,687.00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312,687.00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 </w:t>
            </w:r>
          </w:p>
        </w:tc>
      </w:tr>
      <w:tr w:rsidR="00C407F7" w:rsidRPr="00C13C55" w:rsidTr="00C407F7">
        <w:trPr>
          <w:trHeight w:val="296"/>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31102</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 de energía eléctrica para alumbrado público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31103</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 postal.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Agua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31401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 telefónico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 de telefonía celular</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31601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de telecomunicaciones y satélites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r>
      <w:tr w:rsidR="00C407F7" w:rsidRPr="00C13C55" w:rsidTr="00C407F7">
        <w:trPr>
          <w:trHeight w:val="303"/>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31700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31701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de acceso de Internet, redes y procesamiento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31800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31801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Postales y Telegráficos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45"/>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32100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32101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Arrendamiento de terrenos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32200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32201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Arrendamiento de edificios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33104</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Otras asesorías para la operación de programas.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$27,000.00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$21,000.00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$12,000.00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33106</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Auditorias , evaluaciones, dictámenes fiscales y de seguridad social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$135,000.00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r>
      <w:tr w:rsidR="00C407F7" w:rsidRPr="00C13C55" w:rsidTr="00C407F7">
        <w:trPr>
          <w:trHeight w:val="472"/>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33201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de diseño, arquitectura, ingeniería y actividades relacionadas.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33304</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Otros servicios profesionales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19,441.24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$10,000.24</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$5,441.00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Servicios bancarios y financieros.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Comisiones bancarias.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34103</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Gastos financieros.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Seguros de bienes patrimoniales.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34700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34701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Fletes y maniobras.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393,000.00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$36,000.00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$31,000.00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$26,000.00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41,000.00 </w:t>
            </w:r>
          </w:p>
        </w:tc>
      </w:tr>
      <w:tr w:rsidR="00C407F7" w:rsidRPr="00C13C55" w:rsidTr="00C407F7">
        <w:trPr>
          <w:trHeight w:val="473"/>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Mantenimiento y conservación de inmuebles para la prestación de servicios administrativos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r>
      <w:tr w:rsidR="00C407F7" w:rsidRPr="00C13C55" w:rsidTr="00C407F7">
        <w:trPr>
          <w:trHeight w:val="382"/>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35102</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Mantenimiento y conservación de inmuebles para la prestación de servicios públicos.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r>
      <w:tr w:rsidR="00C407F7" w:rsidRPr="00C13C55" w:rsidTr="00C407F7">
        <w:trPr>
          <w:trHeight w:val="37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35501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Reparación, mantenimiento y conservación de equipo de transporte</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$22,000.00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29,000.00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r>
      <w:tr w:rsidR="00C407F7" w:rsidRPr="00C13C55" w:rsidTr="00C407F7">
        <w:trPr>
          <w:trHeight w:val="550"/>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35700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35701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Instalación, reparación, mantenimiento y conservación de maquinaria y equipo de uso administrativo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590,000.00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$75,000.00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r>
      <w:tr w:rsidR="00C407F7" w:rsidRPr="00C13C55" w:rsidTr="00C407F7">
        <w:trPr>
          <w:trHeight w:val="416"/>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36100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36101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Difusión de mensajes sobre programas y actividades gubernamentales.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Pasajes Terrestres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8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37501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Viático nacional para servidores públicos en el desempeño de funciones oficiales.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1,944,500.00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$161,500.00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$148,500.00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158,500.00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$164,000.00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159,000.00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$170,500.00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170,500.00 </w:t>
            </w:r>
          </w:p>
        </w:tc>
      </w:tr>
      <w:tr w:rsidR="00C407F7" w:rsidRPr="00C13C55" w:rsidTr="00C407F7">
        <w:trPr>
          <w:trHeight w:val="502"/>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37502</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Viáticos en el extranjero para servidores públicos en el desempeño de comisiones y funciones oficiales.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Gastos de ceremonial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692,687.77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$35,000.00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$49,000.00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$107,661.16</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112,750.01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92,276.60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Gastos de orden social.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215,200.00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$12,200.00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$24,000.00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$14,200.00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9,800.00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lastRenderedPageBreak/>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38401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Exposiciones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$100,000.00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38501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Gastos de representación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$8,000.00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Impuestos y derechos.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$510,000.00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$15,000.00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r>
      <w:tr w:rsidR="00C407F7" w:rsidRPr="00C13C55" w:rsidTr="00C407F7">
        <w:trPr>
          <w:trHeight w:val="302"/>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39401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Sentencias y resoluciones por autoridad competente</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378"/>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39800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39801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Impuesto sobre nóminas y otros que se deriven de una relación laboral.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$0.00</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Transferencias, asignaciones, Subsidios y Otras Ayudas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20,448,923.70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1,962,835.64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1,838,145.64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1,751,835.64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1,692,645.64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1,736,835.64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1,585,645.64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1,601,835.64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1,620,645.48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1,686,834.64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1,782,104.46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1,691,834.64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1,497,725.00 </w:t>
            </w:r>
          </w:p>
        </w:tc>
      </w:tr>
      <w:tr w:rsidR="00C407F7" w:rsidRPr="00C13C55" w:rsidTr="00C407F7">
        <w:trPr>
          <w:trHeight w:val="32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Subsidios a la producción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70,000.00 </w:t>
            </w:r>
          </w:p>
        </w:tc>
      </w:tr>
      <w:tr w:rsidR="00C407F7" w:rsidRPr="00C13C55" w:rsidTr="00C407F7">
        <w:trPr>
          <w:trHeight w:val="29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43401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Subsidios a la prestación de servicios públicos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r>
      <w:tr w:rsidR="00C407F7" w:rsidRPr="00C13C55" w:rsidTr="00C407F7">
        <w:trPr>
          <w:trHeight w:val="142"/>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43601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Subsidios a la vivienda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880,000.00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r>
      <w:tr w:rsidR="00C407F7" w:rsidRPr="00C13C55" w:rsidTr="00C407F7">
        <w:trPr>
          <w:trHeight w:val="146"/>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sociales para actividades culturales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9,202,647.84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846,846.00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832,346.00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830,846.00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731,846.00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730,846.00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741,846.00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730,846.00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731,845.84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730,845.00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731,845.00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830,845.00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731,845.00 </w:t>
            </w:r>
          </w:p>
        </w:tc>
      </w:tr>
      <w:tr w:rsidR="00C407F7" w:rsidRPr="00C13C55" w:rsidTr="00C407F7">
        <w:trPr>
          <w:trHeight w:val="205"/>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44201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Becas y otras ayudas para programas de capacitació</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31,500.00 </w:t>
            </w:r>
          </w:p>
        </w:tc>
      </w:tr>
      <w:tr w:rsidR="00C407F7" w:rsidRPr="00C13C55" w:rsidTr="00C407F7">
        <w:trPr>
          <w:trHeight w:val="208"/>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44301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sociales a instituciones de enseñanza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641,700.00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88,070.00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26,380.00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33,070.00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66,380.00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88,070.00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26,380.00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33,070.00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66,380.00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88,070.00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26,380.00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33,070.00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66,380.00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44404</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sociales a actividades científicas o académ</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74,000.00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6,000.00 </w:t>
            </w:r>
          </w:p>
        </w:tc>
      </w:tr>
      <w:tr w:rsidR="00C407F7" w:rsidRPr="00C13C55" w:rsidTr="00C407F7">
        <w:trPr>
          <w:trHeight w:val="24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44501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sociales a instituciones sin fines de lucro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306,000.00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33,000.00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22,000.00 </w:t>
            </w:r>
          </w:p>
        </w:tc>
      </w:tr>
      <w:tr w:rsidR="00C407F7" w:rsidRPr="00C13C55" w:rsidTr="00C407F7">
        <w:trPr>
          <w:trHeight w:val="263"/>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44700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44207</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sociales a entidades de interés público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45100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45101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Pensiones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45200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45201</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Jubilaciones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5,198,575.86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512,919.64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619,379.46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412,919.64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44800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44801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Ayudas por desastres naturales y otros siniestros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BIENES MUEBLE E INMUEBLES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1,983,500.00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161,000.00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760,000.00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837,000.00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Muebles de oficina y estantería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111,500.00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18,500.00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Muebles, excepto de oficina y estantería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51501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Equipo de Cómputo y Tecnologías de la información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171,000.00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87,000.00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72,000.00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Equipos y aparatos audiovisuales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52201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Aparatos Deportivos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bookmarkStart w:id="0" w:name="_GoBack" w:colFirst="9" w:colLast="9"/>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52301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Cámaras fotgráficas y de video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bookmarkEnd w:id="0"/>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52900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52901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Otro mobiliario y equipo educacional y recreativo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303"/>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54103</w:t>
            </w:r>
          </w:p>
        </w:tc>
        <w:tc>
          <w:tcPr>
            <w:tcW w:w="992" w:type="dxa"/>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Vehículos y equipo terrestres, destinados a servicios administrativos.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750,000.00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58100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54104</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Otros equipos de transporte.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54104</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56501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Equipo de comunicación y telecomunicación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58100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58103</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Terrenos  para uso propio del ente</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59100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59101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Software</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101,000.00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56,000.00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INFRAESTRUCTURA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30,444,127.96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129,127.97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5,539,395.50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5,481,059.87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2,355,435.04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2,723,240.24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2,342,772.14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2,844,467.26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1,934,237.73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1,394,392.21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Edificaciones habitacionales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1,155,435.04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1,155,435.04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61202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Infraestructura educativa y de investigación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734,237.73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734,237.73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61200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61204</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Espacios deportivos, recreativos, turísticos y culturales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1,644,467.26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1,644,467.26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61306</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infraestructura para drenaje y alcantarillado residual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3,014,279.38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3,014,279.38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lastRenderedPageBreak/>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61300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61311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Tanques de almacenamiento de agua, cárcamos y similares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1,092,522.01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1,092,522.01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61400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61405</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Otras obras de urbanización</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2,894,392.21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1,394,392.21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61502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Puentes y pasos a desnivel</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2,642,772.14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1,142,772.14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61500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61503</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Caminos rurales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5,523,240.24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1,523,240.24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61605</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Vialidades urbanas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10,239,395.50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2,039,395.50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1,200,000.00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61600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61606</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Plazas, parques, jardines y espacios abiertos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1,374,258.48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1,374,258.48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61900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61902</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Preparación de terrenos y demolición de estructuras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129,127.97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129,127.97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1277" w:type="dxa"/>
            <w:gridSpan w:val="3"/>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9000</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DEUDA PÚBLICA</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91100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91101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Amortización de la deuda interna con instituciones de crédito (corto plazo).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9000</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99100</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99101</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Adeudos de ejercicios fiscales anteriores.</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1,500,000.00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125,000.00 </w:t>
            </w:r>
          </w:p>
        </w:tc>
      </w:tr>
      <w:tr w:rsidR="00C407F7" w:rsidRPr="00C13C55" w:rsidTr="00C407F7">
        <w:trPr>
          <w:trHeight w:val="264"/>
        </w:trPr>
        <w:tc>
          <w:tcPr>
            <w:tcW w:w="2269" w:type="dxa"/>
            <w:gridSpan w:val="4"/>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TOTAL DEL PRESUPUESTO</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156,878,021.00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12,747,251.18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14,717,413.69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15,664,630.69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11,769,279.34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11,482,212.54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12,211,301.25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10,941,467.37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11,209,626.60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11,264,811.55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18,466,128.27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12,818,272.67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xml:space="preserve"> $              12,020,625.85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426"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425"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992"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hideMark/>
          </w:tcPr>
          <w:p w:rsidR="00C407F7" w:rsidRPr="00C13C55" w:rsidRDefault="00C407F7" w:rsidP="00C407F7">
            <w:pPr>
              <w:rPr>
                <w:rFonts w:asciiTheme="minorHAnsi" w:eastAsiaTheme="minorHAnsi" w:hAnsiTheme="minorHAnsi"/>
                <w:b/>
                <w:bCs/>
                <w:sz w:val="10"/>
                <w:szCs w:val="8"/>
                <w:lang w:val="es-MX"/>
              </w:rPr>
            </w:pPr>
            <w:r w:rsidRPr="00C13C55">
              <w:rPr>
                <w:rFonts w:asciiTheme="minorHAnsi" w:eastAsiaTheme="minorHAnsi" w:hAnsiTheme="minorHAnsi"/>
                <w:b/>
                <w:bCs/>
                <w:sz w:val="10"/>
                <w:szCs w:val="8"/>
                <w:lang w:val="es-MX"/>
              </w:rPr>
              <w:t xml:space="preserve">                          -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8"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c>
          <w:tcPr>
            <w:tcW w:w="709" w:type="dxa"/>
            <w:noWrap/>
            <w:hideMark/>
          </w:tcPr>
          <w:p w:rsidR="00C407F7" w:rsidRPr="00C13C55" w:rsidRDefault="00C407F7" w:rsidP="00C407F7">
            <w:pPr>
              <w:rPr>
                <w:rFonts w:asciiTheme="minorHAnsi" w:eastAsiaTheme="minorHAnsi" w:hAnsiTheme="minorHAnsi"/>
                <w:b/>
                <w:sz w:val="10"/>
                <w:szCs w:val="8"/>
                <w:lang w:val="es-MX"/>
              </w:rPr>
            </w:pPr>
            <w:r w:rsidRPr="00C13C55">
              <w:rPr>
                <w:rFonts w:asciiTheme="minorHAnsi" w:eastAsiaTheme="minorHAnsi" w:hAnsiTheme="minorHAnsi"/>
                <w:b/>
                <w:sz w:val="10"/>
                <w:szCs w:val="8"/>
                <w:lang w:val="es-MX"/>
              </w:rPr>
              <w:t> </w:t>
            </w:r>
          </w:p>
        </w:tc>
      </w:tr>
      <w:tr w:rsidR="00C407F7" w:rsidRPr="00C13C55" w:rsidTr="00C407F7">
        <w:trPr>
          <w:trHeight w:val="264"/>
        </w:trPr>
        <w:tc>
          <w:tcPr>
            <w:tcW w:w="426" w:type="dxa"/>
            <w:noWrap/>
            <w:hideMark/>
          </w:tcPr>
          <w:p w:rsidR="00C407F7" w:rsidRPr="00C13C55" w:rsidRDefault="00C407F7" w:rsidP="00C407F7">
            <w:pPr>
              <w:rPr>
                <w:rFonts w:asciiTheme="minorHAnsi" w:eastAsiaTheme="minorHAnsi" w:hAnsiTheme="minorHAnsi"/>
                <w:b/>
                <w:sz w:val="10"/>
                <w:szCs w:val="8"/>
                <w:lang w:val="es-MX"/>
              </w:rPr>
            </w:pPr>
          </w:p>
        </w:tc>
        <w:tc>
          <w:tcPr>
            <w:tcW w:w="426" w:type="dxa"/>
            <w:noWrap/>
            <w:hideMark/>
          </w:tcPr>
          <w:p w:rsidR="00C407F7" w:rsidRPr="00C13C55" w:rsidRDefault="00C407F7" w:rsidP="00C407F7">
            <w:pPr>
              <w:rPr>
                <w:rFonts w:asciiTheme="minorHAnsi" w:eastAsiaTheme="minorHAnsi" w:hAnsiTheme="minorHAnsi"/>
                <w:b/>
                <w:sz w:val="10"/>
                <w:szCs w:val="8"/>
                <w:lang w:val="es-MX"/>
              </w:rPr>
            </w:pPr>
          </w:p>
        </w:tc>
        <w:tc>
          <w:tcPr>
            <w:tcW w:w="425" w:type="dxa"/>
            <w:noWrap/>
            <w:hideMark/>
          </w:tcPr>
          <w:p w:rsidR="00C407F7" w:rsidRPr="00C13C55" w:rsidRDefault="00C407F7" w:rsidP="00C407F7">
            <w:pPr>
              <w:rPr>
                <w:rFonts w:asciiTheme="minorHAnsi" w:eastAsiaTheme="minorHAnsi" w:hAnsiTheme="minorHAnsi"/>
                <w:b/>
                <w:sz w:val="10"/>
                <w:szCs w:val="8"/>
                <w:lang w:val="es-MX"/>
              </w:rPr>
            </w:pPr>
          </w:p>
        </w:tc>
        <w:tc>
          <w:tcPr>
            <w:tcW w:w="992"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8" w:type="dxa"/>
            <w:gridSpan w:val="2"/>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8"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8"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c>
          <w:tcPr>
            <w:tcW w:w="709" w:type="dxa"/>
            <w:noWrap/>
            <w:hideMark/>
          </w:tcPr>
          <w:p w:rsidR="00C407F7" w:rsidRPr="00C13C55" w:rsidRDefault="00C407F7" w:rsidP="00C407F7">
            <w:pPr>
              <w:rPr>
                <w:rFonts w:asciiTheme="minorHAnsi" w:eastAsiaTheme="minorHAnsi" w:hAnsiTheme="minorHAnsi"/>
                <w:b/>
                <w:sz w:val="10"/>
                <w:szCs w:val="8"/>
                <w:lang w:val="es-MX"/>
              </w:rPr>
            </w:pPr>
          </w:p>
        </w:tc>
      </w:tr>
    </w:tbl>
    <w:p w:rsidR="00C407F7" w:rsidRPr="00C13C55" w:rsidRDefault="00C407F7" w:rsidP="00C407F7">
      <w:pPr>
        <w:spacing w:after="160" w:line="259" w:lineRule="auto"/>
        <w:rPr>
          <w:rFonts w:asciiTheme="minorHAnsi" w:eastAsiaTheme="minorHAnsi" w:hAnsiTheme="minorHAnsi" w:cstheme="minorBidi"/>
          <w:sz w:val="10"/>
          <w:szCs w:val="8"/>
          <w:lang w:val="es-MX" w:eastAsia="en-US"/>
        </w:rPr>
      </w:pPr>
    </w:p>
    <w:p w:rsidR="00C407F7" w:rsidRPr="00C13C55" w:rsidRDefault="00C407F7" w:rsidP="00C407F7">
      <w:pPr>
        <w:spacing w:after="160" w:line="259" w:lineRule="auto"/>
        <w:rPr>
          <w:rFonts w:asciiTheme="minorHAnsi" w:eastAsiaTheme="minorHAnsi" w:hAnsiTheme="minorHAnsi" w:cstheme="minorBidi"/>
          <w:sz w:val="10"/>
          <w:szCs w:val="8"/>
          <w:lang w:val="es-MX" w:eastAsia="en-US"/>
        </w:rPr>
      </w:pPr>
    </w:p>
    <w:p w:rsidR="00C407F7" w:rsidRPr="00C407F7" w:rsidRDefault="00C407F7" w:rsidP="00C407F7">
      <w:pPr>
        <w:spacing w:after="160" w:line="259" w:lineRule="auto"/>
        <w:rPr>
          <w:rFonts w:asciiTheme="minorHAnsi" w:eastAsiaTheme="minorHAnsi" w:hAnsiTheme="minorHAnsi" w:cstheme="minorBidi"/>
          <w:sz w:val="8"/>
          <w:szCs w:val="8"/>
          <w:lang w:val="es-MX" w:eastAsia="en-US"/>
        </w:rPr>
      </w:pPr>
    </w:p>
    <w:p w:rsidR="00C407F7" w:rsidRPr="00C407F7" w:rsidRDefault="00C407F7" w:rsidP="00C407F7">
      <w:pPr>
        <w:spacing w:after="160" w:line="259" w:lineRule="auto"/>
        <w:rPr>
          <w:rFonts w:asciiTheme="minorHAnsi" w:eastAsiaTheme="minorHAnsi" w:hAnsiTheme="minorHAnsi" w:cstheme="minorBidi"/>
          <w:sz w:val="8"/>
          <w:szCs w:val="8"/>
          <w:lang w:val="es-MX" w:eastAsia="en-US"/>
        </w:rPr>
      </w:pPr>
    </w:p>
    <w:p w:rsidR="00C407F7" w:rsidRPr="00C407F7" w:rsidRDefault="00C407F7" w:rsidP="00C407F7">
      <w:pPr>
        <w:spacing w:after="160" w:line="259" w:lineRule="auto"/>
        <w:rPr>
          <w:rFonts w:asciiTheme="minorHAnsi" w:eastAsiaTheme="minorHAnsi" w:hAnsiTheme="minorHAnsi" w:cstheme="minorBidi"/>
          <w:sz w:val="8"/>
          <w:szCs w:val="8"/>
          <w:lang w:val="es-MX" w:eastAsia="en-US"/>
        </w:rPr>
      </w:pPr>
    </w:p>
    <w:p w:rsidR="00C407F7" w:rsidRPr="00C407F7" w:rsidRDefault="00C407F7" w:rsidP="00C407F7">
      <w:pPr>
        <w:pStyle w:val="Texto"/>
        <w:spacing w:after="70"/>
        <w:rPr>
          <w:sz w:val="8"/>
          <w:szCs w:val="8"/>
        </w:rPr>
      </w:pPr>
    </w:p>
    <w:p w:rsidR="00713C6E" w:rsidRPr="00C407F7" w:rsidRDefault="00713C6E" w:rsidP="002930DA">
      <w:pPr>
        <w:pStyle w:val="Texto"/>
        <w:spacing w:after="70"/>
        <w:ind w:left="720" w:hanging="432"/>
        <w:rPr>
          <w:sz w:val="20"/>
        </w:rPr>
      </w:pPr>
    </w:p>
    <w:p w:rsidR="00713C6E" w:rsidRPr="00C407F7" w:rsidRDefault="00713C6E" w:rsidP="002930DA">
      <w:pPr>
        <w:pStyle w:val="Texto"/>
        <w:spacing w:after="70"/>
        <w:ind w:left="720" w:hanging="432"/>
        <w:rPr>
          <w:sz w:val="20"/>
        </w:rPr>
      </w:pPr>
    </w:p>
    <w:p w:rsidR="002930DA" w:rsidRPr="00C407F7" w:rsidRDefault="002930DA" w:rsidP="002930DA">
      <w:pPr>
        <w:pStyle w:val="Texto"/>
        <w:spacing w:line="240" w:lineRule="exact"/>
        <w:rPr>
          <w:sz w:val="20"/>
        </w:rPr>
      </w:pPr>
      <w:r w:rsidRPr="00C407F7">
        <w:rPr>
          <w:sz w:val="20"/>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C407F7">
        <w:rPr>
          <w:bCs/>
          <w:sz w:val="20"/>
        </w:rPr>
        <w:t>HAGO CONSTAR</w:t>
      </w:r>
      <w:r w:rsidRPr="00C407F7">
        <w:rPr>
          <w:sz w:val="20"/>
        </w:rPr>
        <w:t xml:space="preserve"> </w:t>
      </w:r>
      <w:r w:rsidRPr="00C407F7">
        <w:rPr>
          <w:bCs/>
          <w:sz w:val="20"/>
        </w:rPr>
        <w:t>Y CERTIFICO</w:t>
      </w:r>
      <w:r w:rsidRPr="00C407F7">
        <w:rPr>
          <w:sz w:val="20"/>
        </w:rPr>
        <w:t xml:space="preserve"> que el documento consistente en 2 fojas útiles, impresas por anverso y reverso, rubricadas y cotejadas, denominado Norma para establecer la estructura del Calendario del Presupuesto</w:t>
      </w:r>
      <w:r w:rsidRPr="00C407F7">
        <w:rPr>
          <w:rFonts w:cs="Calibri"/>
          <w:bCs/>
          <w:sz w:val="20"/>
        </w:rPr>
        <w:t xml:space="preserve"> </w:t>
      </w:r>
      <w:r w:rsidRPr="00C407F7">
        <w:rPr>
          <w:sz w:val="20"/>
        </w:rPr>
        <w:t xml:space="preserve">de Egresos base mensual,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C407F7">
        <w:rPr>
          <w:b/>
          <w:bCs/>
          <w:sz w:val="20"/>
        </w:rPr>
        <w:t>Juan Manuel Alcocer Gamba</w:t>
      </w:r>
      <w:r w:rsidRPr="00C407F7">
        <w:rPr>
          <w:sz w:val="20"/>
        </w:rPr>
        <w:t>.- Rúbrica.</w:t>
      </w:r>
    </w:p>
    <w:p w:rsidR="002930DA" w:rsidRPr="00C407F7" w:rsidRDefault="002930DA" w:rsidP="002930DA">
      <w:pPr>
        <w:pStyle w:val="Texto"/>
        <w:rPr>
          <w:sz w:val="20"/>
        </w:rPr>
      </w:pPr>
    </w:p>
    <w:sectPr w:rsidR="002930DA" w:rsidRPr="00C407F7" w:rsidSect="00C407F7">
      <w:headerReference w:type="even" r:id="rId7"/>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6F" w:rsidRDefault="009E0E6F" w:rsidP="00E62986">
      <w:r>
        <w:separator/>
      </w:r>
    </w:p>
  </w:endnote>
  <w:endnote w:type="continuationSeparator" w:id="0">
    <w:p w:rsidR="009E0E6F" w:rsidRDefault="009E0E6F"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6F" w:rsidRDefault="009E0E6F" w:rsidP="00E62986">
      <w:r>
        <w:separator/>
      </w:r>
    </w:p>
  </w:footnote>
  <w:footnote w:type="continuationSeparator" w:id="0">
    <w:p w:rsidR="009E0E6F" w:rsidRDefault="009E0E6F"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66" w:rsidRDefault="00F37D66" w:rsidP="003F60DB">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02E52"/>
    <w:rsid w:val="00024970"/>
    <w:rsid w:val="000359B8"/>
    <w:rsid w:val="000934B2"/>
    <w:rsid w:val="0009483F"/>
    <w:rsid w:val="000C4997"/>
    <w:rsid w:val="001424C3"/>
    <w:rsid w:val="0018364D"/>
    <w:rsid w:val="00200D88"/>
    <w:rsid w:val="002930DA"/>
    <w:rsid w:val="002E7061"/>
    <w:rsid w:val="002F5370"/>
    <w:rsid w:val="00301FE2"/>
    <w:rsid w:val="00311FA5"/>
    <w:rsid w:val="003C7AAB"/>
    <w:rsid w:val="003F60DB"/>
    <w:rsid w:val="004A0BF7"/>
    <w:rsid w:val="004E18C5"/>
    <w:rsid w:val="005C4856"/>
    <w:rsid w:val="005D5862"/>
    <w:rsid w:val="005F4FF7"/>
    <w:rsid w:val="00615761"/>
    <w:rsid w:val="006B3EAC"/>
    <w:rsid w:val="006C78DC"/>
    <w:rsid w:val="00713C6E"/>
    <w:rsid w:val="00726263"/>
    <w:rsid w:val="007B5023"/>
    <w:rsid w:val="008A48AD"/>
    <w:rsid w:val="008A6D52"/>
    <w:rsid w:val="008D784F"/>
    <w:rsid w:val="00900EE8"/>
    <w:rsid w:val="0092168F"/>
    <w:rsid w:val="00930705"/>
    <w:rsid w:val="009E0E6F"/>
    <w:rsid w:val="00A81477"/>
    <w:rsid w:val="00B574A2"/>
    <w:rsid w:val="00BA7F7C"/>
    <w:rsid w:val="00BE2794"/>
    <w:rsid w:val="00BF70F6"/>
    <w:rsid w:val="00C13C55"/>
    <w:rsid w:val="00C407F7"/>
    <w:rsid w:val="00CE120F"/>
    <w:rsid w:val="00DA0ECF"/>
    <w:rsid w:val="00E00961"/>
    <w:rsid w:val="00E27F83"/>
    <w:rsid w:val="00E62986"/>
    <w:rsid w:val="00EF617A"/>
    <w:rsid w:val="00F37D66"/>
    <w:rsid w:val="00F9195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6BDCBD-B80D-4404-B988-8D99301B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character" w:customStyle="1" w:styleId="TextoCar">
    <w:name w:val="Texto Car"/>
    <w:link w:val="Texto"/>
    <w:locked/>
    <w:rsid w:val="002930DA"/>
    <w:rPr>
      <w:rFonts w:ascii="Arial" w:eastAsia="Times New Roman" w:hAnsi="Arial" w:cs="Arial"/>
      <w:sz w:val="18"/>
      <w:szCs w:val="20"/>
      <w:lang w:val="es-ES" w:eastAsia="es-MX"/>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numbering" w:customStyle="1" w:styleId="Sinlista1">
    <w:name w:val="Sin lista1"/>
    <w:next w:val="Sinlista"/>
    <w:uiPriority w:val="99"/>
    <w:semiHidden/>
    <w:unhideWhenUsed/>
    <w:rsid w:val="00002E52"/>
  </w:style>
  <w:style w:type="numbering" w:customStyle="1" w:styleId="Sinlista2">
    <w:name w:val="Sin lista2"/>
    <w:next w:val="Sinlista"/>
    <w:uiPriority w:val="99"/>
    <w:semiHidden/>
    <w:unhideWhenUsed/>
    <w:rsid w:val="005D5862"/>
  </w:style>
  <w:style w:type="numbering" w:customStyle="1" w:styleId="Sinlista3">
    <w:name w:val="Sin lista3"/>
    <w:next w:val="Sinlista"/>
    <w:uiPriority w:val="99"/>
    <w:semiHidden/>
    <w:unhideWhenUsed/>
    <w:rsid w:val="00C407F7"/>
  </w:style>
  <w:style w:type="character" w:styleId="Hipervnculo">
    <w:name w:val="Hyperlink"/>
    <w:basedOn w:val="Fuentedeprrafopredeter"/>
    <w:uiPriority w:val="99"/>
    <w:semiHidden/>
    <w:unhideWhenUsed/>
    <w:rsid w:val="00C407F7"/>
    <w:rPr>
      <w:color w:val="0000FF"/>
      <w:u w:val="single"/>
    </w:rPr>
  </w:style>
  <w:style w:type="character" w:styleId="Hipervnculovisitado">
    <w:name w:val="FollowedHyperlink"/>
    <w:basedOn w:val="Fuentedeprrafopredeter"/>
    <w:uiPriority w:val="99"/>
    <w:semiHidden/>
    <w:unhideWhenUsed/>
    <w:rsid w:val="00C407F7"/>
    <w:rPr>
      <w:color w:val="800080"/>
      <w:u w:val="single"/>
    </w:rPr>
  </w:style>
  <w:style w:type="paragraph" w:customStyle="1" w:styleId="xl89">
    <w:name w:val="xl89"/>
    <w:basedOn w:val="Normal"/>
    <w:rsid w:val="00C407F7"/>
    <w:pPr>
      <w:spacing w:before="100" w:beforeAutospacing="1" w:after="100" w:afterAutospacing="1"/>
    </w:pPr>
    <w:rPr>
      <w:rFonts w:ascii="Arial" w:hAnsi="Arial" w:cs="Arial"/>
      <w:szCs w:val="24"/>
      <w:lang w:val="es-MX"/>
    </w:rPr>
  </w:style>
  <w:style w:type="paragraph" w:customStyle="1" w:styleId="xl90">
    <w:name w:val="xl90"/>
    <w:basedOn w:val="Normal"/>
    <w:rsid w:val="00C407F7"/>
    <w:pPr>
      <w:spacing w:before="100" w:beforeAutospacing="1" w:after="100" w:afterAutospacing="1"/>
    </w:pPr>
    <w:rPr>
      <w:rFonts w:ascii="Arial" w:hAnsi="Arial" w:cs="Arial"/>
      <w:szCs w:val="24"/>
      <w:lang w:val="es-MX"/>
    </w:rPr>
  </w:style>
  <w:style w:type="paragraph" w:customStyle="1" w:styleId="xl91">
    <w:name w:val="xl91"/>
    <w:basedOn w:val="Normal"/>
    <w:rsid w:val="00C407F7"/>
    <w:pPr>
      <w:shd w:val="clear" w:color="000000" w:fill="FFFFFF"/>
      <w:spacing w:before="100" w:beforeAutospacing="1" w:after="100" w:afterAutospacing="1"/>
    </w:pPr>
    <w:rPr>
      <w:szCs w:val="24"/>
      <w:lang w:val="es-MX"/>
    </w:rPr>
  </w:style>
  <w:style w:type="paragraph" w:customStyle="1" w:styleId="xl92">
    <w:name w:val="xl92"/>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93">
    <w:name w:val="xl93"/>
    <w:basedOn w:val="Normal"/>
    <w:rsid w:val="00C407F7"/>
    <w:pPr>
      <w:spacing w:before="100" w:beforeAutospacing="1" w:after="100" w:afterAutospacing="1"/>
      <w:jc w:val="center"/>
    </w:pPr>
    <w:rPr>
      <w:rFonts w:ascii="Arial" w:hAnsi="Arial" w:cs="Arial"/>
      <w:b/>
      <w:bCs/>
      <w:sz w:val="10"/>
      <w:szCs w:val="10"/>
      <w:lang w:val="es-MX"/>
    </w:rPr>
  </w:style>
  <w:style w:type="paragraph" w:customStyle="1" w:styleId="xl94">
    <w:name w:val="xl94"/>
    <w:basedOn w:val="Normal"/>
    <w:rsid w:val="00C407F7"/>
    <w:pPr>
      <w:spacing w:before="100" w:beforeAutospacing="1" w:after="100" w:afterAutospacing="1"/>
    </w:pPr>
    <w:rPr>
      <w:rFonts w:ascii="Arial" w:hAnsi="Arial" w:cs="Arial"/>
      <w:sz w:val="10"/>
      <w:szCs w:val="10"/>
      <w:lang w:val="es-MX"/>
    </w:rPr>
  </w:style>
  <w:style w:type="paragraph" w:customStyle="1" w:styleId="xl95">
    <w:name w:val="xl95"/>
    <w:basedOn w:val="Normal"/>
    <w:rsid w:val="00C407F7"/>
    <w:pPr>
      <w:spacing w:before="100" w:beforeAutospacing="1" w:after="100" w:afterAutospacing="1"/>
    </w:pPr>
    <w:rPr>
      <w:rFonts w:ascii="Arial" w:hAnsi="Arial" w:cs="Arial"/>
      <w:sz w:val="10"/>
      <w:szCs w:val="10"/>
      <w:lang w:val="es-MX"/>
    </w:rPr>
  </w:style>
  <w:style w:type="paragraph" w:customStyle="1" w:styleId="xl96">
    <w:name w:val="xl96"/>
    <w:basedOn w:val="Normal"/>
    <w:rsid w:val="00C407F7"/>
    <w:pPr>
      <w:spacing w:before="100" w:beforeAutospacing="1" w:after="100" w:afterAutospacing="1"/>
    </w:pPr>
    <w:rPr>
      <w:rFonts w:ascii="Arial" w:hAnsi="Arial" w:cs="Arial"/>
      <w:sz w:val="10"/>
      <w:szCs w:val="10"/>
      <w:lang w:val="es-MX"/>
    </w:rPr>
  </w:style>
  <w:style w:type="paragraph" w:customStyle="1" w:styleId="xl97">
    <w:name w:val="xl97"/>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98">
    <w:name w:val="xl98"/>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99">
    <w:name w:val="xl99"/>
    <w:basedOn w:val="Normal"/>
    <w:rsid w:val="00C407F7"/>
    <w:pPr>
      <w:pBdr>
        <w:top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100">
    <w:name w:val="xl100"/>
    <w:basedOn w:val="Normal"/>
    <w:rsid w:val="00C407F7"/>
    <w:pPr>
      <w:pBdr>
        <w:top w:val="single" w:sz="8" w:space="0" w:color="auto"/>
        <w:left w:val="single" w:sz="8"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1">
    <w:name w:val="xl101"/>
    <w:basedOn w:val="Normal"/>
    <w:rsid w:val="00C407F7"/>
    <w:pPr>
      <w:pBdr>
        <w:top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0"/>
      <w:szCs w:val="10"/>
      <w:lang w:val="es-MX"/>
    </w:rPr>
  </w:style>
  <w:style w:type="paragraph" w:customStyle="1" w:styleId="xl102">
    <w:name w:val="xl102"/>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0"/>
      <w:szCs w:val="10"/>
      <w:lang w:val="es-MX"/>
    </w:rPr>
  </w:style>
  <w:style w:type="paragraph" w:customStyle="1" w:styleId="xl103">
    <w:name w:val="xl103"/>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4">
    <w:name w:val="xl104"/>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5">
    <w:name w:val="xl105"/>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6">
    <w:name w:val="xl106"/>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7">
    <w:name w:val="xl107"/>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0"/>
      <w:szCs w:val="10"/>
      <w:lang w:val="es-MX"/>
    </w:rPr>
  </w:style>
  <w:style w:type="paragraph" w:customStyle="1" w:styleId="xl108">
    <w:name w:val="xl108"/>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sz w:val="10"/>
      <w:szCs w:val="10"/>
      <w:lang w:val="es-MX"/>
    </w:rPr>
  </w:style>
  <w:style w:type="paragraph" w:customStyle="1" w:styleId="xl109">
    <w:name w:val="xl109"/>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0"/>
      <w:szCs w:val="10"/>
      <w:lang w:val="es-MX"/>
    </w:rPr>
  </w:style>
  <w:style w:type="paragraph" w:customStyle="1" w:styleId="xl110">
    <w:name w:val="xl110"/>
    <w:basedOn w:val="Normal"/>
    <w:rsid w:val="00C407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0"/>
      <w:szCs w:val="10"/>
      <w:lang w:val="es-MX"/>
    </w:rPr>
  </w:style>
  <w:style w:type="paragraph" w:customStyle="1" w:styleId="xl111">
    <w:name w:val="xl111"/>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2">
    <w:name w:val="xl112"/>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3">
    <w:name w:val="xl113"/>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4">
    <w:name w:val="xl114"/>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5">
    <w:name w:val="xl11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6">
    <w:name w:val="xl11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17">
    <w:name w:val="xl117"/>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18">
    <w:name w:val="xl118"/>
    <w:basedOn w:val="Normal"/>
    <w:rsid w:val="00C407F7"/>
    <w:pPr>
      <w:shd w:val="clear" w:color="000000" w:fill="FFFFFF"/>
      <w:spacing w:before="100" w:beforeAutospacing="1" w:after="100" w:afterAutospacing="1"/>
      <w:textAlignment w:val="top"/>
    </w:pPr>
    <w:rPr>
      <w:rFonts w:ascii="Arial" w:hAnsi="Arial" w:cs="Arial"/>
      <w:color w:val="000000"/>
      <w:sz w:val="10"/>
      <w:szCs w:val="10"/>
      <w:lang w:val="es-MX"/>
    </w:rPr>
  </w:style>
  <w:style w:type="paragraph" w:customStyle="1" w:styleId="xl119">
    <w:name w:val="xl119"/>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0">
    <w:name w:val="xl120"/>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1">
    <w:name w:val="xl121"/>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2">
    <w:name w:val="xl122"/>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 w:val="10"/>
      <w:szCs w:val="10"/>
      <w:lang w:val="es-MX"/>
    </w:rPr>
  </w:style>
  <w:style w:type="paragraph" w:customStyle="1" w:styleId="xl123">
    <w:name w:val="xl123"/>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24">
    <w:name w:val="xl124"/>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25">
    <w:name w:val="xl12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6">
    <w:name w:val="xl12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7">
    <w:name w:val="xl127"/>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8">
    <w:name w:val="xl128"/>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29">
    <w:name w:val="xl129"/>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0">
    <w:name w:val="xl130"/>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31">
    <w:name w:val="xl131"/>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0"/>
      <w:szCs w:val="10"/>
      <w:lang w:val="es-MX"/>
    </w:rPr>
  </w:style>
  <w:style w:type="paragraph" w:customStyle="1" w:styleId="xl132">
    <w:name w:val="xl132"/>
    <w:basedOn w:val="Normal"/>
    <w:rsid w:val="00C407F7"/>
    <w:pPr>
      <w:pBdr>
        <w:top w:val="single" w:sz="4" w:space="0" w:color="auto"/>
        <w:left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3">
    <w:name w:val="xl133"/>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4">
    <w:name w:val="xl134"/>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5">
    <w:name w:val="xl135"/>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6">
    <w:name w:val="xl136"/>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val="es-MX"/>
    </w:rPr>
  </w:style>
  <w:style w:type="paragraph" w:customStyle="1" w:styleId="xl137">
    <w:name w:val="xl137"/>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0"/>
      <w:szCs w:val="10"/>
      <w:lang w:val="es-MX"/>
    </w:rPr>
  </w:style>
  <w:style w:type="paragraph" w:customStyle="1" w:styleId="xl138">
    <w:name w:val="xl138"/>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0"/>
      <w:szCs w:val="10"/>
      <w:lang w:val="es-MX"/>
    </w:rPr>
  </w:style>
  <w:style w:type="paragraph" w:customStyle="1" w:styleId="xl139">
    <w:name w:val="xl139"/>
    <w:basedOn w:val="Normal"/>
    <w:rsid w:val="00C40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0"/>
      <w:szCs w:val="10"/>
      <w:lang w:val="es-MX"/>
    </w:rPr>
  </w:style>
  <w:style w:type="paragraph" w:customStyle="1" w:styleId="xl140">
    <w:name w:val="xl140"/>
    <w:basedOn w:val="Normal"/>
    <w:rsid w:val="00C40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sz w:val="10"/>
      <w:szCs w:val="10"/>
      <w:lang w:val="es-MX"/>
    </w:rPr>
  </w:style>
  <w:style w:type="paragraph" w:customStyle="1" w:styleId="xl141">
    <w:name w:val="xl141"/>
    <w:basedOn w:val="Normal"/>
    <w:rsid w:val="00C407F7"/>
    <w:pPr>
      <w:shd w:val="clear" w:color="000000" w:fill="FFFFFF"/>
      <w:spacing w:before="100" w:beforeAutospacing="1" w:after="100" w:afterAutospacing="1"/>
    </w:pPr>
    <w:rPr>
      <w:rFonts w:ascii="Arial" w:hAnsi="Arial" w:cs="Arial"/>
      <w:sz w:val="10"/>
      <w:szCs w:val="10"/>
      <w:lang w:val="es-MX"/>
    </w:rPr>
  </w:style>
  <w:style w:type="paragraph" w:customStyle="1" w:styleId="xl142">
    <w:name w:val="xl142"/>
    <w:basedOn w:val="Normal"/>
    <w:rsid w:val="00C407F7"/>
    <w:pPr>
      <w:pBdr>
        <w:top w:val="single" w:sz="4" w:space="0" w:color="auto"/>
      </w:pBdr>
      <w:shd w:val="clear" w:color="000000" w:fill="FFFFFF"/>
      <w:spacing w:before="100" w:beforeAutospacing="1" w:after="100" w:afterAutospacing="1"/>
      <w:jc w:val="center"/>
      <w:textAlignment w:val="center"/>
    </w:pPr>
    <w:rPr>
      <w:rFonts w:ascii="Arial" w:hAnsi="Arial" w:cs="Arial"/>
      <w:b/>
      <w:bCs/>
      <w:sz w:val="10"/>
      <w:szCs w:val="10"/>
      <w:lang w:val="es-MX"/>
    </w:rPr>
  </w:style>
  <w:style w:type="numbering" w:customStyle="1" w:styleId="Sinlista4">
    <w:name w:val="Sin lista4"/>
    <w:next w:val="Sinlista"/>
    <w:uiPriority w:val="99"/>
    <w:semiHidden/>
    <w:unhideWhenUsed/>
    <w:rsid w:val="00C407F7"/>
  </w:style>
  <w:style w:type="numbering" w:customStyle="1" w:styleId="Sinlista5">
    <w:name w:val="Sin lista5"/>
    <w:next w:val="Sinlista"/>
    <w:uiPriority w:val="99"/>
    <w:semiHidden/>
    <w:unhideWhenUsed/>
    <w:rsid w:val="00C407F7"/>
  </w:style>
  <w:style w:type="table" w:customStyle="1" w:styleId="Tablaconcuadrcula1">
    <w:name w:val="Tabla con cuadrícula1"/>
    <w:basedOn w:val="Tablanormal"/>
    <w:next w:val="Tablaconcuadrcula"/>
    <w:uiPriority w:val="39"/>
    <w:rsid w:val="00C40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0097">
      <w:bodyDiv w:val="1"/>
      <w:marLeft w:val="0"/>
      <w:marRight w:val="0"/>
      <w:marTop w:val="0"/>
      <w:marBottom w:val="0"/>
      <w:divBdr>
        <w:top w:val="none" w:sz="0" w:space="0" w:color="auto"/>
        <w:left w:val="none" w:sz="0" w:space="0" w:color="auto"/>
        <w:bottom w:val="none" w:sz="0" w:space="0" w:color="auto"/>
        <w:right w:val="none" w:sz="0" w:space="0" w:color="auto"/>
      </w:divBdr>
    </w:div>
    <w:div w:id="1155074253">
      <w:bodyDiv w:val="1"/>
      <w:marLeft w:val="0"/>
      <w:marRight w:val="0"/>
      <w:marTop w:val="0"/>
      <w:marBottom w:val="0"/>
      <w:divBdr>
        <w:top w:val="none" w:sz="0" w:space="0" w:color="auto"/>
        <w:left w:val="none" w:sz="0" w:space="0" w:color="auto"/>
        <w:bottom w:val="none" w:sz="0" w:space="0" w:color="auto"/>
        <w:right w:val="none" w:sz="0" w:space="0" w:color="auto"/>
      </w:divBdr>
    </w:div>
    <w:div w:id="1392995799">
      <w:bodyDiv w:val="1"/>
      <w:marLeft w:val="0"/>
      <w:marRight w:val="0"/>
      <w:marTop w:val="0"/>
      <w:marBottom w:val="0"/>
      <w:divBdr>
        <w:top w:val="none" w:sz="0" w:space="0" w:color="auto"/>
        <w:left w:val="none" w:sz="0" w:space="0" w:color="auto"/>
        <w:bottom w:val="none" w:sz="0" w:space="0" w:color="auto"/>
        <w:right w:val="none" w:sz="0" w:space="0" w:color="auto"/>
      </w:divBdr>
    </w:div>
    <w:div w:id="20673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10070</Words>
  <Characters>55389</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6</cp:revision>
  <dcterms:created xsi:type="dcterms:W3CDTF">2020-06-17T17:44:00Z</dcterms:created>
  <dcterms:modified xsi:type="dcterms:W3CDTF">2022-08-01T20:54:00Z</dcterms:modified>
</cp:coreProperties>
</file>